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NoSpacing"/>
        <w:jc w:val="center"/>
        <w:rPr>
          <w:rFonts w:asciiTheme="majorBidi" w:cstheme="majorBidi" w:eastAsiaTheme="majorBidi" w:hAnsiTheme="majorBidi"/>
          <w:b/>
          <w:sz w:val="36"/>
          <w:szCs w:val="36"/>
          <w:lang w:val="bg-BG"/>
        </w:rPr>
      </w:pPr>
      <w:r>
        <w:rPr>
          <w:rFonts w:asciiTheme="majorBidi" w:cstheme="majorBidi" w:eastAsiaTheme="majorBidi" w:hAnsiTheme="majorBidi"/>
          <w:b/>
          <w:sz w:val="36"/>
          <w:szCs w:val="36"/>
          <w:lang w:val="bg-BG"/>
        </w:rPr>
        <w:t>НАРОДНО ЧИТАЛИЩЕ „НАУКА – 1927г.“</w:t>
      </w: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с.Левски,</w:t>
      </w: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община Суворово, област Варна</w:t>
      </w:r>
    </w:p>
    <w:p>
      <w:pPr>
        <w:jc w:val="center"/>
        <w:rPr>
          <w:rFonts w:asciiTheme="majorBidi" w:cstheme="majorBidi" w:eastAsiaTheme="majorBidi" w:hAnsiTheme="majorBidi"/>
          <w:b/>
          <w:sz w:val="36"/>
          <w:szCs w:val="36"/>
          <w:lang w:val="bg-BG"/>
        </w:rPr>
      </w:pP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36"/>
          <w:szCs w:val="36"/>
          <w:lang w:val="bg-BG"/>
        </w:rPr>
      </w:pPr>
      <w:r>
        <w:rPr>
          <w:rFonts w:asciiTheme="majorBidi" w:cstheme="majorBidi" w:eastAsiaTheme="majorBidi" w:hAnsiTheme="majorBidi"/>
          <w:b/>
          <w:sz w:val="36"/>
          <w:szCs w:val="36"/>
          <w:lang w:val="bg-BG"/>
        </w:rPr>
        <w:t>ОТЧЕТ</w:t>
      </w: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за приходите и разходите на народно читалище „Наука-1927г.“ </w:t>
      </w: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с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.Левски,  ЕИК: 00008</w:t>
      </w:r>
      <w:r>
        <w:rPr>
          <w:rFonts w:asciiTheme="majorBidi" w:cstheme="majorBidi" w:eastAsiaTheme="majorBidi" w:hAnsiTheme="majorBidi"/>
          <w:b/>
          <w:sz w:val="24"/>
          <w:szCs w:val="24"/>
          <w:lang w:val="ru-RU"/>
        </w:rPr>
        <w:t>5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358</w:t>
      </w: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за период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а</w:t>
      </w:r>
      <w:bookmarkStart w:id="0" w:name="_GoBack"/>
      <w:bookmarkEnd w:id="0"/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от : 01.01.2021г.-31.12.2021г.</w:t>
      </w: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636"/>
        <w:gridCol w:w="5633"/>
        <w:gridCol w:w="3081"/>
      </w:tblGrid>
      <w:tr>
        <w:trPr/>
        <w:tc>
          <w:tcPr>
            <w:cnfStyle w:val="1010000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ru-RU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cnfStyle w:val="100000000000"/>
            <w:tcW w:w="5698" w:type="dxa"/>
          </w:tcPr>
          <w:p>
            <w:pPr>
              <w:pStyle w:val="NoSpacing"/>
              <w:tabs>
                <w:tab w:val="left" w:pos="374"/>
              </w:tabs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Вид ПРИХОД/ РАЗХОД</w:t>
            </w:r>
          </w:p>
        </w:tc>
        <w:tc>
          <w:tcPr>
            <w:cnfStyle w:val="100000000000"/>
            <w:tcW w:w="3117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ГОДИШЕН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ПРИХОДИ 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Обща наличност в началото на периода (от мин.година)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3114.22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Субсидиране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2.1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Държавна субсидия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4701.00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2.2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Общинска субсидия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2.3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Целеви субсидии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Приходи от дейността 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3.1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Продажба на изработените мартеници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439.50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3.2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Входни билети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3.3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Услуги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Наеми и ренти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140.00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Членски внос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187.00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Дарения и завещания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>
          <w:trHeight w:val="275" w:hRule="atLeast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Приходи от проекти и програми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>
          <w:trHeight w:val="311" w:hRule="atLeast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Финансови операции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27,20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010000"/>
            <w:tcW w:w="5698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Общо приходи: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8608,92лв.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5698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Б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РАЗХОДИ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Разходи за труд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1.1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 xml:space="preserve">Трудови възнаграждения 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1.2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Хонорари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914.63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1.3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Осигурителни вноски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297.49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1.4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 xml:space="preserve">Електронен подпис 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74,40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Стопански разходи 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2.1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 xml:space="preserve">Вода и канал 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2.2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Ел.енергия и горива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2.3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Поддръжка на сграда и ремонт</w:t>
            </w: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-материали и труд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2.4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Материално-техническо оборудване и амортизация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674.17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2.5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 xml:space="preserve">Канцеларски материали 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138,76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2.6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Интернет услуги</w:t>
            </w: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/телевизия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2.7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Телефонни услуги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2.8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Пощенски и куриерски услуги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13.82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2.9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Транспортни разходи и командировки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50.00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2.10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Охрана и СОТ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Разходи за дейността 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3.1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Разходи за културни прояви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1746.00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3.2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Разходи за самодейци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3.3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Обновяване на библиотечния фонд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/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3.4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Абонамент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3.5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Украса, отбелязване на празници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778.07</w:t>
            </w:r>
          </w:p>
        </w:tc>
      </w:tr>
      <w:tr>
        <w:trPr>
          <w:trHeight w:val="55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3.6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Други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Финансови разходи 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>
          <w:trHeight w:val="55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4.1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Административни такси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4.2</w:t>
            </w:r>
          </w:p>
        </w:tc>
        <w:tc>
          <w:tcPr>
            <w:cnfStyle w:val="00000001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 xml:space="preserve">Банкови такси 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269.57</w:t>
            </w:r>
          </w:p>
        </w:tc>
      </w:tr>
      <w:tr>
        <w:trPr>
          <w:trHeight w:val="353" w:hRule="atLeast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4.3</w:t>
            </w: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  <w:t>Погасяване на задължения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0</w:t>
            </w: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010000"/>
            <w:tcW w:w="5698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Общо разходи :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en-US"/>
              </w:rPr>
              <w:t>4956,91</w:t>
            </w:r>
          </w:p>
        </w:tc>
      </w:tr>
      <w:tr>
        <w:trPr>
          <w:trHeight w:val="55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010000"/>
            <w:tcW w:w="5698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РЕКАПИТУЛАЦИЯ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>
          <w:trHeight w:val="55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5698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Общо приходи:</w:t>
            </w: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8608,92</w:t>
            </w: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010000"/>
            <w:tcW w:w="5698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Общо разходи: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en-US"/>
              </w:rPr>
              <w:t>4956,91</w:t>
            </w: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>
        <w:trPr>
          <w:trHeight w:val="55"/>
        </w:trPr>
        <w:tc>
          <w:tcPr>
            <w:cnfStyle w:val="00100010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5698" w:type="dxa"/>
          </w:tcPr>
          <w:p>
            <w:pPr>
              <w:pStyle w:val="NoSpacing"/>
              <w:rPr>
                <w:rFonts w:asciiTheme="majorBidi" w:cstheme="majorBidi" w:eastAsiaTheme="majorBidi" w:hAnsiTheme="majorBidi"/>
                <w:sz w:val="24"/>
                <w:szCs w:val="24"/>
                <w:lang w:val="bg-BG"/>
              </w:rPr>
            </w:pPr>
          </w:p>
        </w:tc>
        <w:tc>
          <w:tcPr>
            <w:cnfStyle w:val="00000010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</w:tr>
      <w:tr>
        <w:trPr>
          <w:trHeight w:val="55"/>
        </w:trPr>
        <w:tc>
          <w:tcPr>
            <w:cnfStyle w:val="001000010000"/>
            <w:tcW w:w="535" w:type="dxa"/>
          </w:tcPr>
          <w:p>
            <w:pPr>
              <w:pStyle w:val="NoSpacing"/>
              <w:jc w:val="center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</w:p>
        </w:tc>
        <w:tc>
          <w:tcPr>
            <w:cnfStyle w:val="000000010000"/>
            <w:tcW w:w="5698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Обща наличност в края на периода:</w:t>
            </w:r>
          </w:p>
        </w:tc>
        <w:tc>
          <w:tcPr>
            <w:cnfStyle w:val="000000010000"/>
            <w:tcW w:w="3117" w:type="dxa"/>
          </w:tcPr>
          <w:p>
            <w:pPr>
              <w:pStyle w:val="NoSpacing"/>
              <w:jc w:val="right"/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</w:pP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>3652,01</w:t>
            </w:r>
            <w:r>
              <w:rPr>
                <w:rFonts w:asciiTheme="majorBidi" w:cstheme="majorBidi" w:eastAsiaTheme="majorBidi" w:hAnsiTheme="majorBid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jc w:val="center"/>
        <w:rPr>
          <w:b/>
          <w:sz w:val="24"/>
          <w:szCs w:val="24"/>
          <w:lang w:val="bg-BG"/>
        </w:rPr>
      </w:pPr>
    </w:p>
    <w:p>
      <w:pPr>
        <w:pStyle w:val="NoSpacing"/>
        <w:jc w:val="center"/>
        <w:rPr>
          <w:b/>
          <w:sz w:val="24"/>
          <w:szCs w:val="24"/>
          <w:lang w:val="bg-BG"/>
        </w:rPr>
      </w:pP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jc w:val="center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ind w:left="5040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Съставил: ........................................</w:t>
      </w: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            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Екатерина Кварацхелия</w:t>
      </w:r>
    </w:p>
    <w:p>
      <w:pPr>
        <w:pStyle w:val="NoSpacing"/>
        <w:rPr>
          <w:rFonts w:asciiTheme="majorBidi" w:cstheme="majorBidi" w:eastAsiaTheme="majorBidi" w:hAnsiTheme="majorBidi"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             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ab/>
        <w:t xml:space="preserve">      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sz w:val="24"/>
          <w:szCs w:val="24"/>
          <w:lang w:val="bg-BG"/>
        </w:rPr>
        <w:t>/председател/</w:t>
      </w:r>
    </w:p>
    <w:p>
      <w:pPr>
        <w:pStyle w:val="NoSpacing"/>
        <w:rPr>
          <w:rFonts w:asciiTheme="majorBidi" w:cstheme="majorBidi" w:eastAsiaTheme="majorBidi" w:hAnsiTheme="majorBidi"/>
          <w:sz w:val="24"/>
          <w:szCs w:val="24"/>
          <w:lang w:val="bg-BG"/>
        </w:rPr>
      </w:pP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Читалищно настоятелство </w:t>
      </w: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Екатерина Кварацхелия     ..................................</w:t>
      </w: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Кирил Иванов                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  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>...................................</w:t>
      </w: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</w:p>
    <w:p>
      <w:pPr>
        <w:pStyle w:val="NoSpacing"/>
        <w:rPr>
          <w:rFonts w:asciiTheme="majorBidi" w:cstheme="majorBidi" w:eastAsiaTheme="majorBidi" w:hAnsiTheme="majorBidi"/>
          <w:b/>
          <w:sz w:val="24"/>
          <w:szCs w:val="24"/>
          <w:lang w:val="bg-BG"/>
        </w:rPr>
      </w:pP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Надежда Димитрова  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    </w:t>
      </w:r>
      <w:r>
        <w:rPr>
          <w:rFonts w:asciiTheme="majorBidi" w:cstheme="majorBidi" w:eastAsiaTheme="majorBidi" w:hAnsiTheme="majorBidi"/>
          <w:b/>
          <w:sz w:val="24"/>
          <w:szCs w:val="24"/>
          <w:lang w:val="bg-BG"/>
        </w:rPr>
        <w:t xml:space="preserve">  ...................................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35"/>
    <w:rsid w:val="0001727C"/>
    <w:rsid w:val="002423F9"/>
    <w:rsid w:val="004977C5"/>
    <w:rsid w:val="005627D5"/>
    <w:rsid w:val="005B2A34"/>
    <w:rsid w:val="006524B7"/>
    <w:rsid w:val="008462F5"/>
    <w:rsid w:val="00867ACC"/>
    <w:rsid w:val="008B5B52"/>
    <w:rsid w:val="00D15E9E"/>
    <w:rsid w:val="00E64BBF"/>
    <w:rsid w:val="00F26F35"/>
    <w:rsid w:val="00F61F7A"/>
    <w:rsid w:val="00F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A733"/>
  <w15:chartTrackingRefBased/>
  <w15:docId w15:val="{AC9B7CA2-76E3-4BCA-ACCC-CC35783C3180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Georgievi</dc:creator>
  <cp:lastModifiedBy>Ekaterine Kvaratskhelia</cp:lastModifiedBy>
</cp:coreProperties>
</file>